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4115B8">
      <w:pPr>
        <w:pStyle w:val="2"/>
        <w:ind w:right="2618"/>
        <w:rPr>
          <w:rFonts w:ascii="Arial" w:hAnsi="Arial" w:cs="Arial"/>
          <w:sz w:val="21"/>
          <w:szCs w:val="21"/>
        </w:rPr>
      </w:pPr>
      <w:r>
        <w:rPr>
          <w:lang w:val="pt-BR" w:eastAsia="pt-BR"/>
        </w:rPr>
        <w:drawing>
          <wp:inline distT="0" distB="0" distL="0" distR="0">
            <wp:extent cx="2667000" cy="676275"/>
            <wp:effectExtent l="0" t="0" r="0" b="9525"/>
            <wp:docPr id="1" name="Image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4EBD1E">
      <w:pPr>
        <w:pStyle w:val="2"/>
        <w:ind w:right="2618"/>
        <w:rPr>
          <w:rFonts w:ascii="Arial" w:hAnsi="Arial" w:cs="Arial"/>
          <w:sz w:val="21"/>
          <w:szCs w:val="21"/>
        </w:rPr>
      </w:pPr>
    </w:p>
    <w:p w14:paraId="36D01697">
      <w:pPr>
        <w:pStyle w:val="2"/>
        <w:tabs>
          <w:tab w:val="left" w:pos="5812"/>
        </w:tabs>
        <w:ind w:left="-1701" w:right="-283" w:firstLine="1701"/>
        <w:rPr>
          <w:rFonts w:hint="default" w:ascii="Arial" w:hAnsi="Arial" w:cs="Arial"/>
          <w:sz w:val="21"/>
          <w:szCs w:val="21"/>
          <w:lang w:val="pt-BR"/>
        </w:rPr>
      </w:pPr>
      <w:r>
        <w:rPr>
          <w:rFonts w:ascii="Arial" w:hAnsi="Arial" w:cs="Arial"/>
          <w:sz w:val="21"/>
          <w:szCs w:val="21"/>
        </w:rPr>
        <w:t>ANEX</w:t>
      </w:r>
      <w:r>
        <w:rPr>
          <w:rFonts w:hint="default" w:ascii="Arial" w:hAnsi="Arial" w:cs="Arial"/>
          <w:sz w:val="21"/>
          <w:szCs w:val="21"/>
          <w:lang w:val="pt-BR"/>
        </w:rPr>
        <w:t xml:space="preserve">O </w:t>
      </w:r>
    </w:p>
    <w:p w14:paraId="5064782C">
      <w:pPr>
        <w:pStyle w:val="5"/>
        <w:tabs>
          <w:tab w:val="left" w:pos="5812"/>
        </w:tabs>
        <w:spacing w:before="110"/>
        <w:ind w:left="-1701" w:right="-283" w:firstLine="1701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pacing w:val="-2"/>
          <w:sz w:val="21"/>
          <w:szCs w:val="21"/>
        </w:rPr>
        <w:t>PROCEDIMENTOS PARA PESSOAL E EQ</w:t>
      </w:r>
      <w:bookmarkStart w:id="0" w:name="_GoBack"/>
      <w:bookmarkEnd w:id="0"/>
      <w:r>
        <w:rPr>
          <w:rFonts w:ascii="Arial" w:hAnsi="Arial" w:cs="Arial"/>
          <w:b/>
          <w:spacing w:val="-2"/>
          <w:sz w:val="21"/>
          <w:szCs w:val="21"/>
        </w:rPr>
        <w:t>UIPAMENTOS</w:t>
      </w:r>
    </w:p>
    <w:p w14:paraId="2646B09B">
      <w:pPr>
        <w:pStyle w:val="5"/>
        <w:tabs>
          <w:tab w:val="left" w:pos="5812"/>
        </w:tabs>
        <w:ind w:left="1111" w:right="1103" w:hanging="1134"/>
        <w:jc w:val="center"/>
        <w:rPr>
          <w:rFonts w:ascii="Arial" w:hAnsi="Arial" w:cs="Arial"/>
          <w:sz w:val="21"/>
          <w:szCs w:val="21"/>
        </w:rPr>
      </w:pPr>
    </w:p>
    <w:p w14:paraId="1327DB5B">
      <w:pPr>
        <w:pStyle w:val="5"/>
        <w:ind w:left="227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01 - Os equipamentos e viaturas deverão ser apresentados e mantidos em perfeitas condições de uso e funcionamento, com todos os dispositivos de segurança exigidos pela Legislação vigente</w:t>
      </w:r>
    </w:p>
    <w:p w14:paraId="2D116713">
      <w:pPr>
        <w:pStyle w:val="5"/>
        <w:ind w:left="227"/>
        <w:rPr>
          <w:rFonts w:ascii="Arial" w:hAnsi="Arial" w:cs="Arial"/>
          <w:sz w:val="21"/>
          <w:szCs w:val="21"/>
        </w:rPr>
      </w:pPr>
    </w:p>
    <w:p w14:paraId="198FB0E9">
      <w:pPr>
        <w:pStyle w:val="5"/>
        <w:ind w:left="227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02 - A Fiscalização reserva-se o direito de exigir a substituição de qualquer motorista, operador e outros auxiliares cuja presença na obra for insatisfatória; </w:t>
      </w:r>
    </w:p>
    <w:p w14:paraId="705462A6">
      <w:pPr>
        <w:pStyle w:val="5"/>
        <w:ind w:left="227"/>
        <w:rPr>
          <w:rFonts w:ascii="Arial" w:hAnsi="Arial" w:cs="Arial"/>
          <w:sz w:val="21"/>
          <w:szCs w:val="21"/>
        </w:rPr>
      </w:pPr>
    </w:p>
    <w:p w14:paraId="74065B34">
      <w:pPr>
        <w:pStyle w:val="5"/>
        <w:ind w:left="227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03 - A Fiscalização reserva-se o direito de recusar qualquer equipamento ou viatura que apresente com problema mecânico, estéticos ou de segurança;</w:t>
      </w:r>
    </w:p>
    <w:p w14:paraId="44A34619">
      <w:pPr>
        <w:pStyle w:val="5"/>
        <w:ind w:left="227"/>
        <w:rPr>
          <w:rFonts w:ascii="Arial" w:hAnsi="Arial" w:cs="Arial"/>
          <w:sz w:val="21"/>
          <w:szCs w:val="21"/>
        </w:rPr>
      </w:pPr>
    </w:p>
    <w:p w14:paraId="4FDC5A32">
      <w:pPr>
        <w:pStyle w:val="5"/>
        <w:ind w:left="227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04 - A Empreiteira deverá orientar seus motoristas, operadores e auxiliares para obedecerem rigorosamente as determinações da Fiscalização, seja no cumprimento das tarefas, seja no que diz respeito ao preenchimento da documentação exigida; </w:t>
      </w:r>
    </w:p>
    <w:p w14:paraId="69E596D0">
      <w:pPr>
        <w:pStyle w:val="5"/>
        <w:ind w:left="227"/>
        <w:rPr>
          <w:rFonts w:ascii="Arial" w:hAnsi="Arial" w:cs="Arial"/>
          <w:sz w:val="21"/>
          <w:szCs w:val="21"/>
        </w:rPr>
      </w:pPr>
    </w:p>
    <w:p w14:paraId="60723342">
      <w:pPr>
        <w:pStyle w:val="5"/>
        <w:ind w:left="227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05 - Não serão permitidos remanejamentos de equipamentos ou de viaturas para outras áreas que não a prevista, sem prévia autorização da Fiscalização;</w:t>
      </w:r>
    </w:p>
    <w:p w14:paraId="19C58A30">
      <w:pPr>
        <w:pStyle w:val="5"/>
        <w:ind w:left="227"/>
        <w:rPr>
          <w:rFonts w:ascii="Arial" w:hAnsi="Arial" w:cs="Arial"/>
          <w:sz w:val="21"/>
          <w:szCs w:val="21"/>
        </w:rPr>
      </w:pPr>
    </w:p>
    <w:p w14:paraId="67745143">
      <w:pPr>
        <w:pStyle w:val="5"/>
        <w:ind w:left="227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06 - A Empreiteira deverá manter seus funcionários com uniformes de trabalho obedecendo os padrões do </w:t>
      </w:r>
      <w:r>
        <w:rPr>
          <w:rFonts w:ascii="Arial" w:hAnsi="Arial" w:cs="Arial"/>
          <w:b/>
          <w:sz w:val="21"/>
          <w:szCs w:val="21"/>
        </w:rPr>
        <w:t>IRM;</w:t>
      </w:r>
    </w:p>
    <w:p w14:paraId="767422C7">
      <w:pPr>
        <w:pStyle w:val="5"/>
        <w:ind w:left="227"/>
        <w:rPr>
          <w:rFonts w:ascii="Arial" w:hAnsi="Arial" w:cs="Arial"/>
          <w:color w:val="FF0000"/>
          <w:sz w:val="21"/>
          <w:szCs w:val="21"/>
        </w:rPr>
      </w:pPr>
    </w:p>
    <w:p w14:paraId="76D7FB7E">
      <w:pPr>
        <w:pStyle w:val="5"/>
        <w:ind w:left="227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07 - A manutenção dos equipamentos e ou viaturas deverá ser feita no horário normal de trabalho;</w:t>
      </w:r>
    </w:p>
    <w:p w14:paraId="5B8C91B0">
      <w:pPr>
        <w:pStyle w:val="5"/>
        <w:ind w:left="227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08 - Os equipamentos e viaturas deverão ser providos de placas com os dizeres "</w:t>
      </w:r>
      <w:r>
        <w:rPr>
          <w:rFonts w:ascii="Arial" w:hAnsi="Arial" w:cs="Arial"/>
          <w:b/>
          <w:sz w:val="21"/>
          <w:szCs w:val="21"/>
        </w:rPr>
        <w:t>A Serviço do IRM</w:t>
      </w:r>
      <w:r>
        <w:rPr>
          <w:rFonts w:ascii="Arial" w:hAnsi="Arial" w:cs="Arial"/>
          <w:sz w:val="21"/>
          <w:szCs w:val="21"/>
        </w:rPr>
        <w:t>" colocadas em local visível e de acordo com o modelo apresentado pela Fiscalização;</w:t>
      </w:r>
    </w:p>
    <w:p w14:paraId="1C4BF960">
      <w:pPr>
        <w:pStyle w:val="5"/>
        <w:ind w:left="227"/>
        <w:rPr>
          <w:rFonts w:ascii="Arial" w:hAnsi="Arial" w:cs="Arial"/>
          <w:sz w:val="21"/>
          <w:szCs w:val="21"/>
        </w:rPr>
      </w:pPr>
    </w:p>
    <w:p w14:paraId="3C1AD295">
      <w:pPr>
        <w:pStyle w:val="5"/>
        <w:ind w:left="227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09 - Em se tratando de caminhões, os mesmos deverão ter as tampas traseiras fechadas, vedando completamente a caçamba, impedindo a queda do material transportado nos logradouros. Deverão, também, ser providos de lonas para cobertura do material transportado de acordo com as normas do Código Nacional de Trânsito; </w:t>
      </w:r>
    </w:p>
    <w:p w14:paraId="2688D797">
      <w:pPr>
        <w:pStyle w:val="5"/>
        <w:ind w:left="227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  </w:t>
      </w:r>
    </w:p>
    <w:p w14:paraId="1856F488">
      <w:pPr>
        <w:pStyle w:val="5"/>
        <w:ind w:left="227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10 - A Fiscalização reserva-se o direito de alterar o horário normal de trabalho por conveniência ou necessidade do serviço a ser executado; </w:t>
      </w:r>
    </w:p>
    <w:p w14:paraId="0C4E4E71">
      <w:pPr>
        <w:pStyle w:val="5"/>
        <w:ind w:left="227"/>
        <w:rPr>
          <w:rFonts w:ascii="Arial" w:hAnsi="Arial" w:cs="Arial"/>
          <w:sz w:val="21"/>
          <w:szCs w:val="21"/>
        </w:rPr>
      </w:pPr>
    </w:p>
    <w:p w14:paraId="350683A9">
      <w:pPr>
        <w:pStyle w:val="5"/>
        <w:ind w:left="227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11 - Um equipamento mínimo e grupo de viaturas, com operadores e motoristas, dimensionados pela Fiscalização, deverão estar à disposição do </w:t>
      </w:r>
      <w:r>
        <w:rPr>
          <w:rFonts w:ascii="Arial" w:hAnsi="Arial" w:cs="Arial"/>
          <w:b/>
          <w:sz w:val="21"/>
          <w:szCs w:val="21"/>
        </w:rPr>
        <w:t xml:space="preserve">IRM </w:t>
      </w:r>
      <w:r>
        <w:rPr>
          <w:rFonts w:ascii="Arial" w:hAnsi="Arial" w:cs="Arial"/>
          <w:sz w:val="21"/>
          <w:szCs w:val="21"/>
        </w:rPr>
        <w:t xml:space="preserve">permanentemente, para atendimento às eventuais emergências; </w:t>
      </w:r>
    </w:p>
    <w:p w14:paraId="74F1BAE6">
      <w:pPr>
        <w:pStyle w:val="5"/>
        <w:ind w:left="227"/>
        <w:rPr>
          <w:rFonts w:ascii="Arial" w:hAnsi="Arial" w:cs="Arial"/>
          <w:sz w:val="21"/>
          <w:szCs w:val="21"/>
        </w:rPr>
      </w:pPr>
    </w:p>
    <w:p w14:paraId="2BB0030B">
      <w:pPr>
        <w:pStyle w:val="5"/>
        <w:ind w:left="227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12 - Caberá a Empreiteira toda a responsabilidade civil e ou criminal pelo mau uso dos equipamentos e viaturas bem como pelo mau comportamento de seus funcionários;    </w:t>
      </w:r>
    </w:p>
    <w:p w14:paraId="54D7C318">
      <w:pPr>
        <w:pStyle w:val="5"/>
        <w:ind w:left="227"/>
        <w:rPr>
          <w:rFonts w:ascii="Arial" w:hAnsi="Arial" w:cs="Arial"/>
          <w:sz w:val="21"/>
          <w:szCs w:val="21"/>
        </w:rPr>
      </w:pPr>
    </w:p>
    <w:p w14:paraId="761BB284">
      <w:pPr>
        <w:pStyle w:val="5"/>
        <w:ind w:left="227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13 - Serão consideradas, na apuração de distância de transportes, as distâncias efetivamente percorridas; </w:t>
      </w:r>
    </w:p>
    <w:p w14:paraId="5BF6B163">
      <w:pPr>
        <w:pStyle w:val="5"/>
        <w:ind w:left="227"/>
        <w:rPr>
          <w:rFonts w:ascii="Arial" w:hAnsi="Arial" w:cs="Arial"/>
          <w:sz w:val="21"/>
          <w:szCs w:val="21"/>
        </w:rPr>
      </w:pPr>
    </w:p>
    <w:p w14:paraId="6E36E6ED">
      <w:pPr>
        <w:pStyle w:val="5"/>
        <w:ind w:left="227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14 - Toda mobilização de equipamentos dentro dos limites das obras, correrão à custa do Empreiteiro; </w:t>
      </w:r>
    </w:p>
    <w:p w14:paraId="4E93FE0D">
      <w:pPr>
        <w:pStyle w:val="5"/>
        <w:ind w:left="227"/>
        <w:rPr>
          <w:rFonts w:ascii="Arial" w:hAnsi="Arial" w:cs="Arial"/>
          <w:sz w:val="21"/>
          <w:szCs w:val="21"/>
        </w:rPr>
      </w:pPr>
    </w:p>
    <w:p w14:paraId="68DAB35C">
      <w:pPr>
        <w:pStyle w:val="5"/>
        <w:ind w:left="227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15 - A Empreiteira deverá destinar instalações adequadas para uso da Fiscalização, mantendo-as limpas e conservadas.</w:t>
      </w:r>
    </w:p>
    <w:p w14:paraId="76A59279">
      <w:pPr>
        <w:pStyle w:val="5"/>
        <w:ind w:left="227"/>
        <w:rPr>
          <w:rFonts w:ascii="Arial" w:hAnsi="Arial" w:cs="Arial"/>
          <w:sz w:val="21"/>
          <w:szCs w:val="21"/>
        </w:rPr>
      </w:pPr>
    </w:p>
    <w:p w14:paraId="41E9BF3B">
      <w:pPr>
        <w:pStyle w:val="5"/>
        <w:ind w:left="227"/>
        <w:rPr>
          <w:rFonts w:ascii="Arial" w:hAnsi="Arial" w:cs="Arial"/>
          <w:sz w:val="21"/>
          <w:szCs w:val="21"/>
        </w:rPr>
      </w:pPr>
    </w:p>
    <w:p w14:paraId="6198634A">
      <w:pPr>
        <w:pStyle w:val="5"/>
        <w:ind w:left="227"/>
        <w:rPr>
          <w:rFonts w:ascii="Arial" w:hAnsi="Arial" w:cs="Arial"/>
          <w:sz w:val="21"/>
          <w:szCs w:val="21"/>
        </w:rPr>
      </w:pPr>
    </w:p>
    <w:p w14:paraId="4438E0ED">
      <w:pPr>
        <w:pStyle w:val="5"/>
        <w:ind w:left="227"/>
        <w:jc w:val="center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_________________________________________</w:t>
      </w:r>
    </w:p>
    <w:p w14:paraId="627DA4EE">
      <w:pPr>
        <w:pStyle w:val="5"/>
        <w:ind w:left="227"/>
        <w:jc w:val="center"/>
        <w:rPr>
          <w:sz w:val="21"/>
          <w:szCs w:val="21"/>
        </w:rPr>
      </w:pPr>
      <w:r>
        <w:rPr>
          <w:rFonts w:ascii="Arial" w:hAnsi="Arial" w:cs="Arial"/>
          <w:sz w:val="21"/>
          <w:szCs w:val="21"/>
        </w:rPr>
        <w:t>(nome e assinatura do representante legal)</w:t>
      </w:r>
    </w:p>
    <w:sectPr>
      <w:pgSz w:w="11906" w:h="16838"/>
      <w:pgMar w:top="709" w:right="1274" w:bottom="1417" w:left="1134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00C"/>
    <w:rsid w:val="000424B6"/>
    <w:rsid w:val="00431515"/>
    <w:rsid w:val="005D5073"/>
    <w:rsid w:val="00C061B4"/>
    <w:rsid w:val="00C77B6F"/>
    <w:rsid w:val="00D22B32"/>
    <w:rsid w:val="00E2400C"/>
    <w:rsid w:val="00EF5931"/>
    <w:rsid w:val="3EC77AD9"/>
    <w:rsid w:val="425105E3"/>
    <w:rsid w:val="713B0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pt-BR" w:eastAsia="en-US" w:bidi="ar-SA"/>
    </w:rPr>
  </w:style>
  <w:style w:type="paragraph" w:styleId="2">
    <w:name w:val="heading 1"/>
    <w:basedOn w:val="1"/>
    <w:link w:val="6"/>
    <w:qFormat/>
    <w:uiPriority w:val="1"/>
    <w:pPr>
      <w:widowControl w:val="0"/>
      <w:autoSpaceDE w:val="0"/>
      <w:autoSpaceDN w:val="0"/>
      <w:spacing w:after="0" w:line="240" w:lineRule="auto"/>
      <w:ind w:left="2628"/>
      <w:jc w:val="center"/>
      <w:outlineLvl w:val="0"/>
    </w:pPr>
    <w:rPr>
      <w:rFonts w:ascii="Times New Roman" w:hAnsi="Times New Roman" w:eastAsia="Times New Roman" w:cs="Times New Roman"/>
      <w:b/>
      <w:bCs/>
      <w:sz w:val="24"/>
      <w:szCs w:val="24"/>
      <w:lang w:val="pt-PT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link w:val="7"/>
    <w:qFormat/>
    <w:uiPriority w:val="1"/>
    <w:pPr>
      <w:widowControl w:val="0"/>
      <w:autoSpaceDE w:val="0"/>
      <w:autoSpaceDN w:val="0"/>
      <w:spacing w:after="0" w:line="240" w:lineRule="auto"/>
      <w:ind w:left="237"/>
      <w:jc w:val="both"/>
    </w:pPr>
    <w:rPr>
      <w:rFonts w:ascii="Times New Roman" w:hAnsi="Times New Roman" w:eastAsia="Times New Roman" w:cs="Times New Roman"/>
      <w:sz w:val="24"/>
      <w:szCs w:val="24"/>
      <w:lang w:val="pt-PT"/>
    </w:rPr>
  </w:style>
  <w:style w:type="character" w:customStyle="1" w:styleId="6">
    <w:name w:val="Título 1 Char"/>
    <w:basedOn w:val="3"/>
    <w:link w:val="2"/>
    <w:qFormat/>
    <w:uiPriority w:val="1"/>
    <w:rPr>
      <w:rFonts w:ascii="Times New Roman" w:hAnsi="Times New Roman" w:eastAsia="Times New Roman" w:cs="Times New Roman"/>
      <w:b/>
      <w:bCs/>
      <w:sz w:val="24"/>
      <w:szCs w:val="24"/>
      <w:lang w:val="pt-PT"/>
    </w:rPr>
  </w:style>
  <w:style w:type="character" w:customStyle="1" w:styleId="7">
    <w:name w:val="Corpo de texto Char"/>
    <w:basedOn w:val="3"/>
    <w:link w:val="5"/>
    <w:qFormat/>
    <w:uiPriority w:val="1"/>
    <w:rPr>
      <w:rFonts w:ascii="Times New Roman" w:hAnsi="Times New Roman" w:eastAsia="Times New Roman" w:cs="Times New Roman"/>
      <w:sz w:val="24"/>
      <w:szCs w:val="24"/>
      <w:lang w:val="pt-PT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404</Words>
  <Characters>2182</Characters>
  <Lines>18</Lines>
  <Paragraphs>5</Paragraphs>
  <TotalTime>17</TotalTime>
  <ScaleCrop>false</ScaleCrop>
  <LinksUpToDate>false</LinksUpToDate>
  <CharactersWithSpaces>2581</CharactersWithSpaces>
  <Application>WPS Office_12.2.0.22222_F1E327BC-269C-435d-A152-05C5408002CA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2024-02-21T21:10:00Z</dcterms:created>
  <dc:creator>Maria Teresa Curi Nascimento</dc:creator>
  <cp:lastModifiedBy>icosta</cp:lastModifiedBy>
  <dcterms:modified xsi:type="dcterms:W3CDTF">2025-08-28T19:21:31Z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1046-12.2.0.22222</vt:lpwstr>
  </property>
  <property fmtid="{D5CDD505-2E9C-101B-9397-08002B2CF9AE}" pid="3" name="ICV">
    <vt:lpwstr>9F7F445BBA1D4C79B5D80DFA33A44D9D_12</vt:lpwstr>
  </property>
</Properties>
</file>